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CA67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val="0"/>
          <w:color w:val="111111"/>
          <w:kern w:val="0"/>
          <w:sz w:val="36"/>
          <w:szCs w:val="36"/>
          <w:lang w:val="en-US" w:eastAsia="zh-CN"/>
        </w:rPr>
      </w:pPr>
      <w:r>
        <w:rPr>
          <w:rFonts w:hint="eastAsia" w:ascii="黑体" w:hAnsi="黑体" w:eastAsia="黑体" w:cs="黑体"/>
          <w:b w:val="0"/>
          <w:bCs w:val="0"/>
          <w:color w:val="111111"/>
          <w:kern w:val="0"/>
          <w:sz w:val="36"/>
          <w:szCs w:val="36"/>
          <w:lang w:val="en-US" w:eastAsia="zh-CN"/>
        </w:rPr>
        <w:t>附件</w:t>
      </w:r>
      <w:r>
        <w:rPr>
          <w:rFonts w:hint="eastAsia" w:ascii="Times New Roman" w:hAnsi="Times New Roman" w:eastAsia="黑体" w:cs="黑体"/>
          <w:b w:val="0"/>
          <w:bCs w:val="0"/>
          <w:color w:val="111111"/>
          <w:kern w:val="0"/>
          <w:sz w:val="36"/>
          <w:szCs w:val="36"/>
          <w:lang w:val="en-US" w:eastAsia="zh-CN"/>
        </w:rPr>
        <w:t>1</w:t>
      </w:r>
      <w:r>
        <w:rPr>
          <w:rFonts w:hint="eastAsia" w:ascii="黑体" w:hAnsi="黑体" w:eastAsia="黑体" w:cs="黑体"/>
          <w:b w:val="0"/>
          <w:bCs w:val="0"/>
          <w:color w:val="111111"/>
          <w:kern w:val="0"/>
          <w:sz w:val="36"/>
          <w:szCs w:val="36"/>
          <w:lang w:val="en-US" w:eastAsia="zh-CN"/>
        </w:rPr>
        <w:t>：</w:t>
      </w:r>
    </w:p>
    <w:p w14:paraId="242557B6">
      <w:pPr>
        <w:keepNext w:val="0"/>
        <w:keepLines w:val="0"/>
        <w:pageBreakBefore w:val="0"/>
        <w:widowControl w:val="0"/>
        <w:kinsoku/>
        <w:wordWrap/>
        <w:overflowPunct/>
        <w:topLinePunct w:val="0"/>
        <w:autoSpaceDE/>
        <w:autoSpaceDN/>
        <w:bidi w:val="0"/>
        <w:adjustRightInd/>
        <w:snapToGrid/>
        <w:spacing w:line="560" w:lineRule="exact"/>
        <w:ind w:firstLineChars="200"/>
        <w:jc w:val="center"/>
        <w:textAlignment w:val="auto"/>
        <w:rPr>
          <w:rFonts w:hint="eastAsia" w:ascii="方正小标宋简体" w:hAnsi="方正小标宋简体" w:eastAsia="方正小标宋简体" w:cs="方正小标宋简体"/>
          <w:b w:val="0"/>
          <w:bCs w:val="0"/>
          <w:color w:val="111111"/>
          <w:kern w:val="0"/>
          <w:sz w:val="44"/>
          <w:szCs w:val="44"/>
          <w:lang w:val="en-US" w:eastAsia="zh-CN"/>
        </w:rPr>
      </w:pPr>
      <w:r>
        <w:rPr>
          <w:rFonts w:hint="eastAsia" w:ascii="方正小标宋简体" w:hAnsi="方正小标宋简体" w:eastAsia="方正小标宋简体" w:cs="方正小标宋简体"/>
          <w:b w:val="0"/>
          <w:bCs w:val="0"/>
          <w:color w:val="111111"/>
          <w:kern w:val="0"/>
          <w:sz w:val="44"/>
          <w:szCs w:val="44"/>
          <w:lang w:val="en-US" w:eastAsia="zh-CN"/>
        </w:rPr>
        <w:t>各类示范项目的立项和建设要求</w:t>
      </w:r>
    </w:p>
    <w:p w14:paraId="0BE794E3">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黑体" w:hAnsi="黑体" w:eastAsia="黑体" w:cs="黑体"/>
          <w:sz w:val="32"/>
          <w:szCs w:val="32"/>
          <w:lang w:eastAsia="zh-CN"/>
        </w:rPr>
      </w:pPr>
    </w:p>
    <w:p w14:paraId="30CF129C">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一、课程思政试点学院</w:t>
      </w:r>
    </w:p>
    <w:p w14:paraId="BC470D19">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（一）立项要求</w:t>
      </w:r>
    </w:p>
    <w:p w14:paraId="0000FDED">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val="en-US" w:eastAsia="zh-CN"/>
        </w:rPr>
        <w:t>.党政领导干部齐抓共管，学院党政会议常态化研究课程思政改革工作。围绕“培养什么人、怎样培养人、为谁培养人”的根本问题，坚持将立德树人作为办学的根本出发点和立足点，积极构建全员、全过程、全方位育人体系。</w:t>
      </w:r>
    </w:p>
    <w:p w14:paraId="609C19C8">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eastAsia="zh-CN"/>
        </w:rPr>
      </w:pPr>
      <w:r>
        <w:rPr>
          <w:rFonts w:hint="eastAsia" w:ascii="Times New Roman" w:hAnsi="Times New Roman"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bidi="ar-SA"/>
        </w:rPr>
        <w:t>已有一批课程思政项目获评省级以上示范项目。</w:t>
      </w:r>
    </w:p>
    <w:p w14:paraId="7693680B">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（二）建设要求</w:t>
      </w:r>
    </w:p>
    <w:p w14:paraId="1B3BD633">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default" w:ascii="仿宋_GB2312" w:hAnsi="仿宋_GB2312" w:eastAsia="仿宋_GB2312" w:cs="仿宋_GB2312"/>
          <w:color w:val="auto"/>
          <w:sz w:val="32"/>
          <w:szCs w:val="32"/>
          <w:lang w:val="en-US" w:eastAsia="zh-CN"/>
        </w:rPr>
      </w:pPr>
      <w:r>
        <w:rPr>
          <w:rFonts w:hint="default" w:ascii="Times New Roman" w:hAnsi="Times New Roman" w:eastAsia="仿宋_GB2312" w:cs="仿宋_GB2312"/>
          <w:color w:val="auto"/>
          <w:sz w:val="32"/>
          <w:szCs w:val="32"/>
          <w:lang w:val="en-US" w:eastAsia="zh-CN"/>
        </w:rPr>
        <w:t>1</w:t>
      </w:r>
      <w:r>
        <w:rPr>
          <w:rFonts w:hint="default" w:ascii="仿宋_GB2312" w:hAnsi="仿宋_GB2312" w:eastAsia="仿宋_GB2312" w:cs="仿宋_GB2312"/>
          <w:color w:val="auto"/>
          <w:sz w:val="32"/>
          <w:szCs w:val="32"/>
          <w:lang w:val="en-US" w:eastAsia="zh-CN"/>
        </w:rPr>
        <w:t>.制定“课程思政”教育教学改革试点工作方案，明确工作目标、工作任务及保障机制，将思政教育元素融入学院本科教学改革的各环节，</w:t>
      </w:r>
      <w:r>
        <w:rPr>
          <w:rFonts w:hint="eastAsia" w:ascii="仿宋_GB2312" w:hAnsi="仿宋_GB2312" w:eastAsia="仿宋_GB2312" w:cs="仿宋_GB2312"/>
          <w:color w:val="auto"/>
          <w:sz w:val="32"/>
          <w:szCs w:val="32"/>
          <w:lang w:val="en-US" w:eastAsia="zh-CN"/>
        </w:rPr>
        <w:t>探索专业、课程、教材、教法等各个层面改革路径方法，</w:t>
      </w:r>
      <w:r>
        <w:rPr>
          <w:rFonts w:hint="default" w:ascii="仿宋_GB2312" w:hAnsi="仿宋_GB2312" w:eastAsia="仿宋_GB2312" w:cs="仿宋_GB2312"/>
          <w:color w:val="auto"/>
          <w:sz w:val="32"/>
          <w:szCs w:val="32"/>
          <w:lang w:val="en-US" w:eastAsia="zh-CN"/>
        </w:rPr>
        <w:t>积极探索课程思政教学成效增值评价模式和人工智能赋能课程思政教学建设路径。</w:t>
      </w:r>
    </w:p>
    <w:p w14:paraId="2A2767A3">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2.成立课程思政建设工作小组，领导和组织本单位课程思政建设工作，扎实推动课程思政工作开展。</w:t>
      </w:r>
    </w:p>
    <w:p w14:paraId="96DBDCED">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3</w:t>
      </w:r>
      <w:r>
        <w:rPr>
          <w:rFonts w:hint="default" w:ascii="仿宋_GB2312" w:hAnsi="仿宋_GB2312" w:eastAsia="仿宋_GB2312" w:cs="仿宋_GB2312"/>
          <w:color w:val="auto"/>
          <w:sz w:val="32"/>
          <w:szCs w:val="32"/>
          <w:lang w:val="en-US" w:eastAsia="zh-CN"/>
        </w:rPr>
        <w:t>.教师教学能力培训常态化。</w:t>
      </w:r>
      <w:r>
        <w:rPr>
          <w:rFonts w:hint="eastAsia" w:ascii="仿宋_GB2312" w:hAnsi="仿宋_GB2312" w:eastAsia="仿宋_GB2312" w:cs="仿宋_GB2312"/>
          <w:color w:val="auto"/>
          <w:sz w:val="32"/>
          <w:szCs w:val="32"/>
          <w:lang w:val="en-US" w:eastAsia="zh-CN"/>
        </w:rPr>
        <w:t>定期开展丰富多样的课程思政改革教师交流、观摩和培训活动，推动专业课教师与思政教师紧密合作，形成合力，促进专业教育与思政教育改革深度融合，全面提升教师课程思政改革能力。</w:t>
      </w:r>
    </w:p>
    <w:p w14:paraId="42C77801">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示范辐射作用明显。发挥微信公众号、学院网站等信息技术平台的作用，推出思政特色品牌专栏，打造原创新颖、形式多样的网络宣传文化作品，助推“互联网+思政”模式发展。以“课程思政”为载体，创新活动方式，并在校内形成示范辐射效应。</w:t>
      </w:r>
    </w:p>
    <w:p w14:paraId="7A92992F">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val="en-US" w:eastAsia="zh-CN"/>
        </w:rPr>
        <w:t>.在建设期内（至</w:t>
      </w:r>
      <w:r>
        <w:rPr>
          <w:rFonts w:hint="eastAsia" w:ascii="Times New Roman" w:hAnsi="Times New Roman" w:eastAsia="仿宋_GB2312" w:cs="仿宋_GB2312"/>
          <w:color w:val="auto"/>
          <w:sz w:val="32"/>
          <w:szCs w:val="32"/>
          <w:lang w:val="en-US" w:eastAsia="zh-CN"/>
        </w:rPr>
        <w:t>2028年7月</w:t>
      </w:r>
      <w:r>
        <w:rPr>
          <w:rFonts w:hint="eastAsia" w:ascii="仿宋_GB2312" w:hAnsi="仿宋_GB2312" w:eastAsia="仿宋_GB2312" w:cs="仿宋_GB2312"/>
          <w:color w:val="auto"/>
          <w:sz w:val="32"/>
          <w:szCs w:val="32"/>
          <w:lang w:val="en-US" w:eastAsia="zh-CN"/>
        </w:rPr>
        <w:t>），学院需同步开展课程思政示范项目的遴选认定工作。试点学院项目需完成以下目标：</w:t>
      </w:r>
    </w:p>
    <w:p w14:paraId="1DCE78EC">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w:t>
      </w:r>
      <w:r>
        <w:rPr>
          <w:rFonts w:hint="default" w:ascii="Times New Roman" w:hAnsi="Times New Roman" w:eastAsia="仿宋_GB2312" w:cs="仿宋_GB2312"/>
          <w:color w:val="auto"/>
          <w:sz w:val="32"/>
          <w:szCs w:val="32"/>
          <w:lang w:val="en-US" w:eastAsia="zh-CN"/>
        </w:rPr>
        <w:t>1</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至少获认定校级课程思政示范团队</w:t>
      </w:r>
      <w:r>
        <w:rPr>
          <w:rFonts w:hint="default" w:ascii="Times New Roman" w:hAnsi="Times New Roman"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val="en-US" w:eastAsia="zh-CN"/>
        </w:rPr>
        <w:t>个；</w:t>
      </w:r>
    </w:p>
    <w:p w14:paraId="3356829A">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w:t>
      </w:r>
      <w:r>
        <w:rPr>
          <w:rFonts w:hint="default" w:ascii="Times New Roman" w:hAnsi="Times New Roman" w:eastAsia="仿宋_GB2312" w:cs="仿宋_GB2312"/>
          <w:color w:val="auto"/>
          <w:sz w:val="32"/>
          <w:szCs w:val="32"/>
          <w:lang w:val="en-US" w:eastAsia="zh-CN"/>
        </w:rPr>
        <w:t>2</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获评校级示范课程、示范课堂及课程思政教学典型案例不少于</w:t>
      </w:r>
      <w:r>
        <w:rPr>
          <w:rFonts w:hint="default" w:ascii="Times New Roman" w:hAnsi="Times New Roman" w:eastAsia="仿宋_GB2312" w:cs="仿宋_GB2312"/>
          <w:color w:val="auto"/>
          <w:sz w:val="32"/>
          <w:szCs w:val="32"/>
          <w:lang w:val="en-US" w:eastAsia="zh-CN"/>
        </w:rPr>
        <w:t>12</w:t>
      </w:r>
      <w:r>
        <w:rPr>
          <w:rFonts w:hint="eastAsia" w:ascii="仿宋_GB2312" w:hAnsi="仿宋_GB2312" w:eastAsia="仿宋_GB2312" w:cs="仿宋_GB2312"/>
          <w:color w:val="auto"/>
          <w:sz w:val="32"/>
          <w:szCs w:val="32"/>
          <w:lang w:val="en-US" w:eastAsia="zh-CN"/>
        </w:rPr>
        <w:t>个；</w:t>
      </w:r>
    </w:p>
    <w:p w14:paraId="499B4C0F">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w:t>
      </w:r>
      <w:r>
        <w:rPr>
          <w:rFonts w:hint="default" w:ascii="Times New Roman" w:hAnsi="Times New Roman" w:eastAsia="仿宋_GB2312" w:cs="仿宋_GB2312"/>
          <w:color w:val="auto"/>
          <w:sz w:val="32"/>
          <w:szCs w:val="32"/>
          <w:lang w:val="en-US" w:eastAsia="zh-CN"/>
        </w:rPr>
        <w:t>3</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上线“新华思政”课程思政教学资源库平台的案例不少于</w:t>
      </w:r>
      <w:r>
        <w:rPr>
          <w:rFonts w:hint="default" w:ascii="Times New Roman" w:hAnsi="Times New Roman"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个。</w:t>
      </w:r>
    </w:p>
    <w:p w14:paraId="E560F24D">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二、课程思政示范团队</w:t>
      </w:r>
    </w:p>
    <w:p w14:paraId="7CAEE4CF">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（一）立项要求</w:t>
      </w:r>
    </w:p>
    <w:p w14:paraId="D632D68B">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val="en-US" w:eastAsia="zh-CN"/>
        </w:rPr>
        <w:t>.团队负责人应为学校专任教师，一般应具有教授职称和</w:t>
      </w:r>
      <w:r>
        <w:rPr>
          <w:rFonts w:hint="default" w:ascii="Times New Roman" w:hAnsi="Times New Roman"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val="en-US" w:eastAsia="zh-CN"/>
        </w:rPr>
        <w:t>年（含）以上本科教龄，</w:t>
      </w:r>
      <w:r>
        <w:rPr>
          <w:rFonts w:hint="default" w:ascii="Times New Roman" w:hAnsi="Times New Roman" w:eastAsia="仿宋_GB2312" w:cs="仿宋_GB2312"/>
          <w:color w:val="auto"/>
          <w:sz w:val="32"/>
          <w:szCs w:val="32"/>
          <w:lang w:val="en-US" w:eastAsia="zh-CN"/>
        </w:rPr>
        <w:t>60</w:t>
      </w:r>
      <w:r>
        <w:rPr>
          <w:rFonts w:hint="eastAsia" w:ascii="仿宋_GB2312" w:hAnsi="仿宋_GB2312" w:eastAsia="仿宋_GB2312" w:cs="仿宋_GB2312"/>
          <w:color w:val="auto"/>
          <w:sz w:val="32"/>
          <w:szCs w:val="32"/>
          <w:lang w:val="en-US" w:eastAsia="zh-CN"/>
        </w:rPr>
        <w:t>周岁以下。团队其他成员一般应具有讲师以上职称及</w:t>
      </w:r>
      <w:r>
        <w:rPr>
          <w:rFonts w:hint="default" w:ascii="Times New Roman" w:hAnsi="Times New Roman"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val="en-US" w:eastAsia="zh-CN"/>
        </w:rPr>
        <w:t>年（含）以上本科教龄（以上年龄及任职时间计算均截至</w:t>
      </w:r>
      <w:r>
        <w:rPr>
          <w:rFonts w:hint="default" w:ascii="Times New Roman" w:hAnsi="Times New Roman" w:eastAsia="仿宋_GB2312" w:cs="仿宋_GB2312"/>
          <w:color w:val="auto"/>
          <w:sz w:val="32"/>
          <w:szCs w:val="32"/>
          <w:lang w:val="en-US" w:eastAsia="zh-CN"/>
        </w:rPr>
        <w:t>202</w:t>
      </w:r>
      <w:r>
        <w:rPr>
          <w:rFonts w:hint="eastAsia" w:ascii="Times New Roman" w:hAnsi="Times New Roman"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val="en-US" w:eastAsia="zh-CN"/>
        </w:rPr>
        <w:t>年</w:t>
      </w:r>
      <w:r>
        <w:rPr>
          <w:rFonts w:hint="eastAsia" w:ascii="Times New Roman" w:hAnsi="Times New Roman"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val="en-US" w:eastAsia="zh-CN"/>
        </w:rPr>
        <w:t>月</w:t>
      </w:r>
      <w:r>
        <w:rPr>
          <w:rFonts w:hint="default" w:ascii="Times New Roman" w:hAnsi="Times New Roman" w:eastAsia="仿宋_GB2312" w:cs="仿宋_GB2312"/>
          <w:color w:val="auto"/>
          <w:sz w:val="32"/>
          <w:szCs w:val="32"/>
          <w:lang w:val="en-US" w:eastAsia="zh-CN"/>
        </w:rPr>
        <w:t>30</w:t>
      </w:r>
      <w:r>
        <w:rPr>
          <w:rFonts w:hint="eastAsia" w:ascii="仿宋_GB2312" w:hAnsi="仿宋_GB2312" w:eastAsia="仿宋_GB2312" w:cs="仿宋_GB2312"/>
          <w:color w:val="auto"/>
          <w:sz w:val="32"/>
          <w:szCs w:val="32"/>
          <w:lang w:val="en-US" w:eastAsia="zh-CN"/>
        </w:rPr>
        <w:t>日，下同）。</w:t>
      </w:r>
    </w:p>
    <w:p w14:paraId="80A34C53">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.团队负责人及成员具有良好的政治素质和高尚的师德师风，长期奋战在教学一线，具有较高的教学水平和教学艺术。近</w:t>
      </w:r>
      <w:r>
        <w:rPr>
          <w:rFonts w:hint="default" w:ascii="Times New Roman" w:hAnsi="Times New Roman"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个学年度（</w:t>
      </w:r>
      <w:r>
        <w:rPr>
          <w:rFonts w:hint="default" w:ascii="Times New Roman" w:hAnsi="Times New Roman" w:eastAsia="仿宋_GB2312" w:cs="仿宋_GB2312"/>
          <w:color w:val="auto"/>
          <w:sz w:val="32"/>
          <w:szCs w:val="32"/>
          <w:lang w:val="en-US" w:eastAsia="zh-CN"/>
        </w:rPr>
        <w:t>202</w:t>
      </w:r>
      <w:r>
        <w:rPr>
          <w:rFonts w:hint="eastAsia" w:ascii="Times New Roman" w:hAnsi="Times New Roman"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en-US" w:eastAsia="zh-CN"/>
        </w:rPr>
        <w:t>年</w:t>
      </w:r>
      <w:r>
        <w:rPr>
          <w:rFonts w:hint="default" w:ascii="Times New Roman" w:hAnsi="Times New Roman" w:eastAsia="仿宋_GB2312" w:cs="仿宋_GB2312"/>
          <w:color w:val="auto"/>
          <w:sz w:val="32"/>
          <w:szCs w:val="32"/>
          <w:lang w:val="en-US" w:eastAsia="zh-CN"/>
        </w:rPr>
        <w:t>9</w:t>
      </w:r>
      <w:r>
        <w:rPr>
          <w:rFonts w:hint="eastAsia" w:ascii="仿宋_GB2312" w:hAnsi="仿宋_GB2312" w:eastAsia="仿宋_GB2312" w:cs="仿宋_GB2312"/>
          <w:color w:val="auto"/>
          <w:sz w:val="32"/>
          <w:szCs w:val="32"/>
          <w:lang w:val="en-US" w:eastAsia="zh-CN"/>
        </w:rPr>
        <w:t>月</w:t>
      </w:r>
      <w:r>
        <w:rPr>
          <w:rFonts w:hint="default" w:ascii="Times New Roman" w:hAnsi="Times New Roman"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val="en-US" w:eastAsia="zh-CN"/>
        </w:rPr>
        <w:t>日起计算，下同），团队负责人及成员本科课堂教学时数人均不低于</w:t>
      </w:r>
      <w:r>
        <w:rPr>
          <w:rFonts w:hint="default" w:ascii="Times New Roman" w:hAnsi="Times New Roman" w:eastAsia="仿宋_GB2312" w:cs="仿宋_GB2312"/>
          <w:color w:val="auto"/>
          <w:sz w:val="32"/>
          <w:szCs w:val="32"/>
          <w:lang w:val="en-US" w:eastAsia="zh-CN"/>
        </w:rPr>
        <w:t>108</w:t>
      </w:r>
      <w:r>
        <w:rPr>
          <w:rFonts w:hint="eastAsia" w:ascii="仿宋_GB2312" w:hAnsi="仿宋_GB2312" w:eastAsia="仿宋_GB2312" w:cs="仿宋_GB2312"/>
          <w:color w:val="auto"/>
          <w:sz w:val="32"/>
          <w:szCs w:val="32"/>
          <w:lang w:val="en-US" w:eastAsia="zh-CN"/>
        </w:rPr>
        <w:t>学时/学年。</w:t>
      </w:r>
    </w:p>
    <w:p w14:paraId="0B967FDC">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en-US" w:eastAsia="zh-CN"/>
        </w:rPr>
        <w:t>.团队规模一般</w:t>
      </w:r>
      <w:r>
        <w:rPr>
          <w:rFonts w:hint="default" w:ascii="Times New Roman" w:hAnsi="Times New Roman" w:eastAsia="仿宋_GB2312" w:cs="仿宋_GB2312"/>
          <w:color w:val="auto"/>
          <w:sz w:val="32"/>
          <w:szCs w:val="32"/>
          <w:lang w:val="en-US" w:eastAsia="zh-CN"/>
        </w:rPr>
        <w:t>5</w:t>
      </w:r>
      <w:r>
        <w:rPr>
          <w:rFonts w:hint="default" w:ascii="仿宋_GB2312" w:hAnsi="仿宋_GB2312" w:eastAsia="仿宋_GB2312" w:cs="仿宋_GB2312"/>
          <w:color w:val="auto"/>
          <w:sz w:val="32"/>
          <w:szCs w:val="32"/>
          <w:lang w:val="en-US" w:eastAsia="zh-CN"/>
        </w:rPr>
        <w:t>-</w:t>
      </w:r>
      <w:r>
        <w:rPr>
          <w:rFonts w:hint="default" w:ascii="Times New Roman" w:hAnsi="Times New Roman"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val="en-US" w:eastAsia="zh-CN"/>
        </w:rPr>
        <w:t>人，并保持合理的梯队结构，团队内部形成了稳定的“传帮带”机制和教学协作机制。鼓励省级以上教学名师等高层次人才带头开展课程思政改革。</w:t>
      </w:r>
    </w:p>
    <w:p w14:paraId="961754C3">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en-US" w:eastAsia="zh-CN"/>
        </w:rPr>
        <w:t>.团队具有较强的课程思政育人意识，较高的课程思政教学水平，能够找准育人角度，深挖专业课思政元素，丰富教学内容，推进信息技术在课程教学中的广泛应用。</w:t>
      </w:r>
    </w:p>
    <w:p w14:paraId="8E4D0AA6">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val="en-US" w:eastAsia="zh-CN"/>
        </w:rPr>
        <w:t>.团队长期致力于课程思政建设改革，在课程思政理论研究、资源建设等方面有突出成果，并将相关成果应用于教学改革实践，取得了显著育人成效。</w:t>
      </w:r>
    </w:p>
    <w:p w14:paraId="C74CF9C9">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val="en-US" w:eastAsia="zh-CN"/>
        </w:rPr>
        <w:t>.团队长期坚持以学生为中心开展教学，育人效果受到同行广泛认可，受到学生普遍欢迎，在业内具有良好的口碑和较大的影响力。</w:t>
      </w:r>
    </w:p>
    <w:p w14:paraId="CC5B3312">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7</w:t>
      </w:r>
      <w:r>
        <w:rPr>
          <w:rFonts w:hint="eastAsia" w:ascii="仿宋_GB2312" w:hAnsi="仿宋_GB2312" w:eastAsia="仿宋_GB2312" w:cs="仿宋_GB2312"/>
          <w:color w:val="auto"/>
          <w:sz w:val="32"/>
          <w:szCs w:val="32"/>
          <w:lang w:val="en-US" w:eastAsia="zh-CN"/>
        </w:rPr>
        <w:t>.同等条件下，已通过省级验收的省级教学团队优先予以支持。</w:t>
      </w:r>
    </w:p>
    <w:p w14:paraId="6E483228">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（二）建设要求</w:t>
      </w:r>
    </w:p>
    <w:p w14:paraId="0A02DA88">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在建设期内（至</w:t>
      </w:r>
      <w:r>
        <w:rPr>
          <w:rFonts w:hint="eastAsia" w:ascii="Times New Roman" w:hAnsi="Times New Roman" w:eastAsia="仿宋_GB2312" w:cs="仿宋_GB2312"/>
          <w:color w:val="auto"/>
          <w:sz w:val="32"/>
          <w:szCs w:val="32"/>
          <w:lang w:val="en-US" w:eastAsia="zh-CN"/>
        </w:rPr>
        <w:t>2028年7月</w:t>
      </w:r>
      <w:r>
        <w:rPr>
          <w:rFonts w:hint="eastAsia" w:ascii="仿宋_GB2312" w:hAnsi="仿宋_GB2312" w:eastAsia="仿宋_GB2312" w:cs="仿宋_GB2312"/>
          <w:color w:val="auto"/>
          <w:sz w:val="32"/>
          <w:szCs w:val="32"/>
          <w:lang w:val="en-US" w:eastAsia="zh-CN"/>
        </w:rPr>
        <w:t>），示范团队至少获得校级课程思政示范课程</w:t>
      </w:r>
      <w:r>
        <w:rPr>
          <w:rFonts w:hint="default" w:ascii="Times New Roman" w:hAnsi="Times New Roman"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val="en-US" w:eastAsia="zh-CN"/>
        </w:rPr>
        <w:t>门，校级示范课堂和课程思政教学典型案例共不少于</w:t>
      </w:r>
      <w:r>
        <w:rPr>
          <w:rFonts w:hint="default" w:ascii="Times New Roman" w:hAnsi="Times New Roman"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en-US" w:eastAsia="zh-CN"/>
        </w:rPr>
        <w:t>个。</w:t>
      </w:r>
    </w:p>
    <w:p w14:paraId="5E3F8144">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三、课程思政示范课程</w:t>
      </w:r>
    </w:p>
    <w:p w14:paraId="0EF10F7A">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（一）立项要求</w:t>
      </w:r>
    </w:p>
    <w:p w14:paraId="5330A9BC">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val="en-US" w:eastAsia="zh-CN"/>
        </w:rPr>
        <w:t>.课程纳入人才培养方案，且已实施学分管理，并至少经过两个学期或两个教学周期的运行和完善。</w:t>
      </w:r>
    </w:p>
    <w:p w14:paraId="3E18493F">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2.申报课程须对应以下四种类型之一，且符合相应类型特征：</w:t>
      </w:r>
      <w:r>
        <w:rPr>
          <w:rFonts w:hint="eastAsia" w:ascii="仿宋_GB2312" w:hAnsi="仿宋_GB2312" w:eastAsia="仿宋_GB2312" w:cs="仿宋_GB2312"/>
          <w:b/>
          <w:bCs/>
          <w:color w:val="auto"/>
          <w:sz w:val="32"/>
          <w:szCs w:val="32"/>
          <w:lang w:val="en-US" w:eastAsia="zh-CN"/>
        </w:rPr>
        <w:t>智慧课程</w:t>
      </w:r>
      <w:r>
        <w:rPr>
          <w:rFonts w:hint="eastAsia" w:ascii="仿宋_GB2312" w:hAnsi="仿宋_GB2312" w:eastAsia="仿宋_GB2312" w:cs="仿宋_GB2312"/>
          <w:color w:val="auto"/>
          <w:sz w:val="32"/>
          <w:szCs w:val="32"/>
          <w:lang w:val="en-US" w:eastAsia="zh-CN"/>
        </w:rPr>
        <w:t>须体现人工智能、大数据等现代信息技术在教学中的深度融合应用；</w:t>
      </w:r>
      <w:r>
        <w:rPr>
          <w:rFonts w:hint="eastAsia" w:ascii="仿宋_GB2312" w:hAnsi="仿宋_GB2312" w:eastAsia="仿宋_GB2312" w:cs="仿宋_GB2312"/>
          <w:b/>
          <w:bCs/>
          <w:color w:val="auto"/>
          <w:sz w:val="32"/>
          <w:szCs w:val="32"/>
          <w:lang w:val="en-US" w:eastAsia="zh-CN"/>
        </w:rPr>
        <w:t>产教融合</w:t>
      </w:r>
      <w:r>
        <w:rPr>
          <w:rFonts w:hint="eastAsia" w:ascii="仿宋_GB2312" w:hAnsi="仿宋_GB2312" w:eastAsia="仿宋_GB2312" w:cs="仿宋_GB2312"/>
          <w:color w:val="auto"/>
          <w:sz w:val="32"/>
          <w:szCs w:val="32"/>
          <w:lang w:val="en-US" w:eastAsia="zh-CN"/>
        </w:rPr>
        <w:t>课程须具有稳定的校企（院所）合作基础，能有效引入行业真实资源开展协同育人；</w:t>
      </w:r>
      <w:r>
        <w:rPr>
          <w:rFonts w:hint="eastAsia" w:ascii="仿宋_GB2312" w:hAnsi="仿宋_GB2312" w:eastAsia="仿宋_GB2312" w:cs="仿宋_GB2312"/>
          <w:b/>
          <w:bCs/>
          <w:color w:val="auto"/>
          <w:sz w:val="32"/>
          <w:szCs w:val="32"/>
          <w:lang w:val="en-US" w:eastAsia="zh-CN"/>
        </w:rPr>
        <w:t>项目式课程</w:t>
      </w:r>
      <w:r>
        <w:rPr>
          <w:rFonts w:hint="eastAsia" w:ascii="仿宋_GB2312" w:hAnsi="仿宋_GB2312" w:eastAsia="仿宋_GB2312" w:cs="仿宋_GB2312"/>
          <w:color w:val="auto"/>
          <w:sz w:val="32"/>
          <w:szCs w:val="32"/>
          <w:lang w:val="en-US" w:eastAsia="zh-CN"/>
        </w:rPr>
        <w:t>须以真实或模拟项目为核心载体，完整体现项目驱动的教学设计与实施过程；</w:t>
      </w:r>
      <w:r>
        <w:rPr>
          <w:rFonts w:hint="eastAsia" w:ascii="仿宋_GB2312" w:hAnsi="仿宋_GB2312" w:eastAsia="仿宋_GB2312" w:cs="仿宋_GB2312"/>
          <w:b/>
          <w:bCs/>
          <w:color w:val="auto"/>
          <w:sz w:val="32"/>
          <w:szCs w:val="32"/>
          <w:lang w:val="en-US" w:eastAsia="zh-CN"/>
        </w:rPr>
        <w:t>场景式课程</w:t>
      </w:r>
      <w:r>
        <w:rPr>
          <w:rFonts w:hint="eastAsia" w:ascii="仿宋_GB2312" w:hAnsi="仿宋_GB2312" w:eastAsia="仿宋_GB2312" w:cs="仿宋_GB2312"/>
          <w:color w:val="auto"/>
          <w:sz w:val="32"/>
          <w:szCs w:val="32"/>
          <w:lang w:val="en-US" w:eastAsia="zh-CN"/>
        </w:rPr>
        <w:t>须具备典型教</w:t>
      </w:r>
      <w:bookmarkStart w:id="0" w:name="_GoBack"/>
      <w:bookmarkEnd w:id="0"/>
      <w:r>
        <w:rPr>
          <w:rFonts w:hint="eastAsia" w:ascii="仿宋_GB2312" w:hAnsi="仿宋_GB2312" w:eastAsia="仿宋_GB2312" w:cs="仿宋_GB2312"/>
          <w:color w:val="auto"/>
          <w:sz w:val="32"/>
          <w:szCs w:val="32"/>
          <w:lang w:val="en-US" w:eastAsia="zh-CN"/>
        </w:rPr>
        <w:t>学场景资源，能有效开展情境体验式教学。</w:t>
      </w:r>
    </w:p>
    <w:p w14:paraId="8AB0E27F">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en-US" w:eastAsia="zh-CN"/>
        </w:rPr>
        <w:t>.课程负责人应为学校专任教师，一般应具有副教授（含）以上职称和</w:t>
      </w:r>
      <w:r>
        <w:rPr>
          <w:rFonts w:hint="default" w:ascii="Times New Roman" w:hAnsi="Times New Roman"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val="en-US" w:eastAsia="zh-CN"/>
        </w:rPr>
        <w:t>年（含）以上本科教龄，具有丰富的课堂讲授经验和良好的教学口碑，年龄一般在</w:t>
      </w:r>
      <w:r>
        <w:rPr>
          <w:rFonts w:hint="default" w:ascii="Times New Roman" w:hAnsi="Times New Roman" w:eastAsia="仿宋_GB2312" w:cs="仿宋_GB2312"/>
          <w:color w:val="auto"/>
          <w:sz w:val="32"/>
          <w:szCs w:val="32"/>
          <w:lang w:val="en-US" w:eastAsia="zh-CN"/>
        </w:rPr>
        <w:t>55</w:t>
      </w:r>
      <w:r>
        <w:rPr>
          <w:rFonts w:hint="eastAsia" w:ascii="仿宋_GB2312" w:hAnsi="仿宋_GB2312" w:eastAsia="仿宋_GB2312" w:cs="仿宋_GB2312"/>
          <w:color w:val="auto"/>
          <w:sz w:val="32"/>
          <w:szCs w:val="32"/>
          <w:lang w:val="en-US" w:eastAsia="zh-CN"/>
        </w:rPr>
        <w:t>周岁以下（特别优秀的教师在与学校签订续聘协议、能够保证课程服务年限的情况下，可放宽至</w:t>
      </w:r>
      <w:r>
        <w:rPr>
          <w:rFonts w:hint="default" w:ascii="Times New Roman" w:hAnsi="Times New Roman" w:eastAsia="仿宋_GB2312" w:cs="仿宋_GB2312"/>
          <w:color w:val="auto"/>
          <w:sz w:val="32"/>
          <w:szCs w:val="32"/>
          <w:lang w:val="en-US" w:eastAsia="zh-CN"/>
        </w:rPr>
        <w:t>60</w:t>
      </w:r>
      <w:r>
        <w:rPr>
          <w:rFonts w:hint="eastAsia" w:ascii="仿宋_GB2312" w:hAnsi="仿宋_GB2312" w:eastAsia="仿宋_GB2312" w:cs="仿宋_GB2312"/>
          <w:color w:val="auto"/>
          <w:sz w:val="32"/>
          <w:szCs w:val="32"/>
          <w:lang w:val="en-US" w:eastAsia="zh-CN"/>
        </w:rPr>
        <w:t>周岁）；课程负责人须为推荐课程的实际讲授人，且近</w:t>
      </w:r>
      <w:r>
        <w:rPr>
          <w:rFonts w:hint="default" w:ascii="Times New Roman" w:hAnsi="Times New Roman"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个学年度连续讲授该课程，并承担该课程三分之一的教学时数。</w:t>
      </w:r>
    </w:p>
    <w:p w14:paraId="610C3DD6">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en-US" w:eastAsia="zh-CN"/>
        </w:rPr>
        <w:t>.课程负责人及团队成员政治立场坚定，具有高尚的师德师风，并长期稳定从事一线本科教学，有较高的“课程思政”教学素养与能力。课程团队成员不超过</w:t>
      </w:r>
      <w:r>
        <w:rPr>
          <w:rFonts w:hint="default" w:ascii="Times New Roman" w:hAnsi="Times New Roman"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val="en-US" w:eastAsia="zh-CN"/>
        </w:rPr>
        <w:t>人。</w:t>
      </w:r>
    </w:p>
    <w:p w14:paraId="C20898C1">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val="en-US" w:eastAsia="zh-CN"/>
        </w:rPr>
        <w:t>.课程体现学校办学定位和专业特色，充分融入思政元素，有效支撑学校人才培养目标达成，注重知识、能力、素质培养，科学设计课程目标和教案课件，取得突出育人效果。</w:t>
      </w:r>
    </w:p>
    <w:p w14:paraId="523541D1">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6</w:t>
      </w:r>
      <w:r>
        <w:rPr>
          <w:rFonts w:hint="default" w:ascii="仿宋_GB2312" w:hAnsi="仿宋_GB2312" w:eastAsia="仿宋_GB2312" w:cs="仿宋_GB2312"/>
          <w:color w:val="auto"/>
          <w:sz w:val="32"/>
          <w:szCs w:val="32"/>
          <w:lang w:val="en-US" w:eastAsia="zh-CN"/>
        </w:rPr>
        <w:t>.申报示范课程时，需要明确课程教学的社会影响和积极作用，说明课程的实际应用和普及效果，以及社会对该课程的认可度和反响。</w:t>
      </w:r>
    </w:p>
    <w:p w14:paraId="97B14C7C">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（二）建设要求</w:t>
      </w:r>
    </w:p>
    <w:p w14:paraId="DB8781CC">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仿宋_GB2312"/>
          <w:sz w:val="32"/>
          <w:szCs w:val="32"/>
          <w:lang w:val="en-US" w:eastAsia="zh-CN"/>
        </w:rPr>
        <w:t>1</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bidi="ar-SA"/>
        </w:rPr>
        <w:t>教学理念先进，分类创新教学模式。各类课程须结合自身类型特点，积极探索与之相匹配的创新教学模式：</w:t>
      </w:r>
      <w:r>
        <w:rPr>
          <w:rFonts w:hint="eastAsia" w:ascii="仿宋_GB2312" w:hAnsi="仿宋_GB2312" w:eastAsia="仿宋_GB2312" w:cs="仿宋_GB2312"/>
          <w:b/>
          <w:bCs/>
          <w:i w:val="0"/>
          <w:iCs w:val="0"/>
          <w:color w:val="auto"/>
          <w:kern w:val="2"/>
          <w:sz w:val="32"/>
          <w:szCs w:val="32"/>
          <w:highlight w:val="none"/>
          <w:vertAlign w:val="baseline"/>
          <w:lang w:val="en-US" w:eastAsia="zh-CN" w:bidi="ar-SA"/>
        </w:rPr>
        <w:t>智慧课程</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bidi="ar-SA"/>
        </w:rPr>
        <w:t>应深度运用人工智能、大数据等现代信息技术，构建人机协同、数据驱动的智慧教学环境；</w:t>
      </w:r>
      <w:r>
        <w:rPr>
          <w:rFonts w:hint="eastAsia" w:ascii="仿宋_GB2312" w:hAnsi="仿宋_GB2312" w:eastAsia="仿宋_GB2312" w:cs="仿宋_GB2312"/>
          <w:b/>
          <w:bCs/>
          <w:i w:val="0"/>
          <w:iCs w:val="0"/>
          <w:color w:val="auto"/>
          <w:kern w:val="2"/>
          <w:sz w:val="32"/>
          <w:szCs w:val="32"/>
          <w:highlight w:val="none"/>
          <w:vertAlign w:val="baseline"/>
          <w:lang w:val="en-US" w:eastAsia="zh-CN" w:bidi="ar-SA"/>
        </w:rPr>
        <w:t>产教融合</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bidi="ar-SA"/>
        </w:rPr>
        <w:t>课程应推动校企协同育人，将行业前沿案例与产业真实场景引入课堂教学；</w:t>
      </w:r>
      <w:r>
        <w:rPr>
          <w:rFonts w:hint="eastAsia" w:ascii="仿宋_GB2312" w:hAnsi="仿宋_GB2312" w:eastAsia="仿宋_GB2312" w:cs="仿宋_GB2312"/>
          <w:b/>
          <w:bCs/>
          <w:i w:val="0"/>
          <w:iCs w:val="0"/>
          <w:color w:val="auto"/>
          <w:kern w:val="2"/>
          <w:sz w:val="32"/>
          <w:szCs w:val="32"/>
          <w:highlight w:val="none"/>
          <w:vertAlign w:val="baseline"/>
          <w:lang w:val="en-US" w:eastAsia="zh-CN" w:bidi="ar-SA"/>
        </w:rPr>
        <w:t>项目式课程</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bidi="ar-SA"/>
        </w:rPr>
        <w:t>应以真实或模拟项目为载体，贯通课程设计、实施与评价全过程，强化学生解决复杂问题的综合能力；</w:t>
      </w:r>
      <w:r>
        <w:rPr>
          <w:rFonts w:hint="eastAsia" w:ascii="仿宋_GB2312" w:hAnsi="仿宋_GB2312" w:eastAsia="仿宋_GB2312" w:cs="仿宋_GB2312"/>
          <w:b/>
          <w:bCs/>
          <w:i w:val="0"/>
          <w:iCs w:val="0"/>
          <w:color w:val="auto"/>
          <w:kern w:val="2"/>
          <w:sz w:val="32"/>
          <w:szCs w:val="32"/>
          <w:highlight w:val="none"/>
          <w:vertAlign w:val="baseline"/>
          <w:lang w:val="en-US" w:eastAsia="zh-CN" w:bidi="ar-SA"/>
        </w:rPr>
        <w:t>场景式课程</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bidi="ar-SA"/>
        </w:rPr>
        <w:t>应创设典型教学情境，引导学生在情境体验与问题探究中深化认知、内化价值。各类课程教学内容均应体现思想性、前沿性与时代性，讲授方法体现先进性、互动性与针对性，形成可供借鉴的经验、成果和模式。</w:t>
      </w:r>
    </w:p>
    <w:p w14:paraId="2ECE4263">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仿宋_GB2312"/>
          <w:sz w:val="32"/>
          <w:szCs w:val="32"/>
          <w:lang w:val="en-US" w:eastAsia="zh-CN"/>
        </w:rPr>
        <w:t>2</w:t>
      </w:r>
      <w:r>
        <w:rPr>
          <w:rFonts w:hint="eastAsia" w:ascii="仿宋_GB2312" w:hAnsi="仿宋_GB2312" w:eastAsia="仿宋_GB2312" w:cs="仿宋_GB2312"/>
          <w:sz w:val="32"/>
          <w:szCs w:val="32"/>
          <w:lang w:val="en-US" w:eastAsia="zh-CN"/>
        </w:rPr>
        <w:t>.突出思政特色：示范课程旨在注重学科思政和思政教育的有机结合，涵盖了学科和思政双重特性。申报示范课程时，需要突出课程的思政特色，明确课程体现的思政要求和理念。</w:t>
      </w:r>
    </w:p>
    <w:p w14:paraId="0ADFDCB4">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3.突出创新点：示范课程需要具有一定的独特性和开创性。申报示范课程时，需要充分展现课程内容的创新点和教学模式的创新特色。可以结合具体的教学案例和教学效果说明，展现课程教学的创新价值。</w:t>
      </w:r>
    </w:p>
    <w:p w14:paraId="F341BFAB">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仿宋_GB2312"/>
          <w:sz w:val="32"/>
          <w:szCs w:val="32"/>
          <w:lang w:val="en-US" w:eastAsia="zh-CN"/>
        </w:rPr>
        <w:t>4</w:t>
      </w:r>
      <w:r>
        <w:rPr>
          <w:rFonts w:hint="eastAsia" w:ascii="仿宋_GB2312" w:hAnsi="仿宋_GB2312" w:eastAsia="仿宋_GB2312" w:cs="仿宋_GB2312"/>
          <w:sz w:val="32"/>
          <w:szCs w:val="32"/>
          <w:lang w:val="en-US" w:eastAsia="zh-CN"/>
        </w:rPr>
        <w:t>.完善课程考核方式，评价方法多样化，注重过程性评价，</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bidi="ar-SA"/>
        </w:rPr>
        <w:t>突出社会效益：示范课程需具有一定的社会效益。</w:t>
      </w:r>
      <w:r>
        <w:rPr>
          <w:rFonts w:hint="eastAsia" w:ascii="仿宋_GB2312" w:hAnsi="仿宋_GB2312" w:eastAsia="仿宋_GB2312" w:cs="仿宋_GB2312"/>
          <w:sz w:val="32"/>
          <w:szCs w:val="32"/>
          <w:lang w:val="en-US" w:eastAsia="zh-CN"/>
        </w:rPr>
        <w:t>授课效果良好，学生、校内外同行专家评价优秀，可形成较高水平的课程思政展示成果。</w:t>
      </w:r>
    </w:p>
    <w:p w14:paraId="6321DC3A">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仿宋_GB2312"/>
          <w:sz w:val="32"/>
          <w:szCs w:val="32"/>
          <w:lang w:val="en-US" w:eastAsia="zh-CN"/>
        </w:rPr>
        <w:t>5</w:t>
      </w:r>
      <w:r>
        <w:rPr>
          <w:rFonts w:hint="eastAsia" w:ascii="仿宋_GB2312" w:hAnsi="仿宋_GB2312" w:eastAsia="仿宋_GB2312" w:cs="仿宋_GB2312"/>
          <w:sz w:val="32"/>
          <w:szCs w:val="32"/>
          <w:lang w:val="en-US" w:eastAsia="zh-CN"/>
        </w:rPr>
        <w:t>.同等条件下，省级及以上各项教学奖励获得者或高层次人才、教学名师或教学团队申报的课程以及已通过验收的省级课程类项目优先予以支持。</w:t>
      </w:r>
    </w:p>
    <w:p w14:paraId="39A95ECB">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仿宋_GB2312"/>
          <w:sz w:val="32"/>
          <w:szCs w:val="32"/>
          <w:lang w:val="en-US" w:eastAsia="zh-CN"/>
        </w:rPr>
        <w:t>6</w:t>
      </w:r>
      <w:r>
        <w:rPr>
          <w:rFonts w:hint="eastAsia" w:ascii="仿宋_GB2312" w:hAnsi="仿宋_GB2312" w:eastAsia="仿宋_GB2312" w:cs="仿宋_GB2312"/>
          <w:sz w:val="32"/>
          <w:szCs w:val="32"/>
          <w:lang w:val="en-US" w:eastAsia="zh-CN"/>
        </w:rPr>
        <w:t>.在建设期内（至</w:t>
      </w:r>
      <w:r>
        <w:rPr>
          <w:rFonts w:hint="eastAsia" w:ascii="Times New Roman" w:hAnsi="Times New Roman" w:eastAsia="仿宋_GB2312" w:cs="仿宋_GB2312"/>
          <w:sz w:val="32"/>
          <w:szCs w:val="32"/>
          <w:lang w:val="en-US" w:eastAsia="zh-CN"/>
        </w:rPr>
        <w:t>2028年7月</w:t>
      </w:r>
      <w:r>
        <w:rPr>
          <w:rFonts w:hint="eastAsia" w:ascii="仿宋_GB2312" w:hAnsi="仿宋_GB2312" w:eastAsia="仿宋_GB2312" w:cs="仿宋_GB2312"/>
          <w:sz w:val="32"/>
          <w:szCs w:val="32"/>
          <w:lang w:val="en-US" w:eastAsia="zh-CN"/>
        </w:rPr>
        <w:t>前）形成完整的课程思政教学体系，具体成果应包括：</w:t>
      </w:r>
    </w:p>
    <w:p w14:paraId="C1B216EA">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eastAsia" w:ascii="Times New Roman" w:hAnsi="Times New Roman" w:eastAsia="仿宋_GB2312" w:cs="仿宋_GB2312"/>
          <w:sz w:val="32"/>
          <w:szCs w:val="32"/>
          <w:lang w:val="en-US" w:eastAsia="zh-CN"/>
        </w:rPr>
        <w:t>1</w:t>
      </w:r>
      <w:r>
        <w:rPr>
          <w:rFonts w:hint="eastAsia" w:ascii="仿宋_GB2312" w:hAnsi="仿宋_GB2312" w:eastAsia="仿宋_GB2312" w:cs="仿宋_GB2312"/>
          <w:sz w:val="32"/>
          <w:szCs w:val="32"/>
          <w:lang w:val="en-US" w:eastAsia="zh-CN"/>
        </w:rPr>
        <w:t>）修订后的课程教案（</w:t>
      </w:r>
      <w:r>
        <w:rPr>
          <w:rFonts w:hint="eastAsia" w:ascii="Times New Roman" w:hAnsi="Times New Roman" w:eastAsia="仿宋_GB2312" w:cs="仿宋_GB2312"/>
          <w:sz w:val="32"/>
          <w:szCs w:val="32"/>
          <w:lang w:val="en-US" w:eastAsia="zh-CN"/>
        </w:rPr>
        <w:t>1</w:t>
      </w:r>
      <w:r>
        <w:rPr>
          <w:rFonts w:hint="eastAsia" w:ascii="仿宋_GB2312" w:hAnsi="仿宋_GB2312" w:eastAsia="仿宋_GB2312" w:cs="仿宋_GB2312"/>
          <w:sz w:val="32"/>
          <w:szCs w:val="32"/>
          <w:lang w:val="en-US" w:eastAsia="zh-CN"/>
        </w:rPr>
        <w:t>份）及配套课程思政教学案例库（</w:t>
      </w:r>
      <w:r>
        <w:rPr>
          <w:rFonts w:hint="eastAsia" w:ascii="Times New Roman" w:hAnsi="Times New Roman" w:eastAsia="仿宋_GB2312" w:cs="仿宋_GB2312"/>
          <w:sz w:val="32"/>
          <w:szCs w:val="32"/>
          <w:lang w:val="en-US" w:eastAsia="zh-CN"/>
        </w:rPr>
        <w:t>4</w:t>
      </w:r>
      <w:r>
        <w:rPr>
          <w:rFonts w:hint="eastAsia" w:ascii="仿宋_GB2312" w:hAnsi="仿宋_GB2312" w:eastAsia="仿宋_GB2312" w:cs="仿宋_GB2312"/>
          <w:sz w:val="32"/>
          <w:szCs w:val="32"/>
          <w:lang w:val="en-US" w:eastAsia="zh-CN"/>
        </w:rPr>
        <w:t>-</w:t>
      </w:r>
      <w:r>
        <w:rPr>
          <w:rFonts w:hint="eastAsia" w:ascii="Times New Roman" w:hAnsi="Times New Roman" w:eastAsia="仿宋_GB2312" w:cs="仿宋_GB2312"/>
          <w:sz w:val="32"/>
          <w:szCs w:val="32"/>
          <w:lang w:val="en-US" w:eastAsia="zh-CN"/>
        </w:rPr>
        <w:t>6</w:t>
      </w:r>
      <w:r>
        <w:rPr>
          <w:rFonts w:hint="eastAsia" w:ascii="仿宋_GB2312" w:hAnsi="仿宋_GB2312" w:eastAsia="仿宋_GB2312" w:cs="仿宋_GB2312"/>
          <w:sz w:val="32"/>
          <w:szCs w:val="32"/>
          <w:lang w:val="en-US" w:eastAsia="zh-CN"/>
        </w:rPr>
        <w:t>个），为教学提供丰富素材和指导；</w:t>
      </w:r>
    </w:p>
    <w:p w14:paraId="8154588D">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eastAsia" w:ascii="Times New Roman" w:hAnsi="Times New Roman" w:eastAsia="仿宋_GB2312" w:cs="仿宋_GB2312"/>
          <w:sz w:val="32"/>
          <w:szCs w:val="32"/>
          <w:lang w:val="en-US" w:eastAsia="zh-CN"/>
        </w:rPr>
        <w:t>2</w:t>
      </w:r>
      <w:r>
        <w:rPr>
          <w:rFonts w:hint="eastAsia" w:ascii="仿宋_GB2312" w:hAnsi="仿宋_GB2312" w:eastAsia="仿宋_GB2312" w:cs="仿宋_GB2312"/>
          <w:sz w:val="32"/>
          <w:szCs w:val="32"/>
          <w:lang w:val="en-US" w:eastAsia="zh-CN"/>
        </w:rPr>
        <w:t>）开展课程思政示范公开课（</w:t>
      </w:r>
      <w:r>
        <w:rPr>
          <w:rFonts w:hint="eastAsia" w:ascii="Times New Roman" w:hAnsi="Times New Roman" w:eastAsia="仿宋_GB2312" w:cs="仿宋_GB2312"/>
          <w:sz w:val="32"/>
          <w:szCs w:val="32"/>
          <w:lang w:val="en-US" w:eastAsia="zh-CN"/>
        </w:rPr>
        <w:t>2</w:t>
      </w:r>
      <w:r>
        <w:rPr>
          <w:rFonts w:hint="eastAsia" w:ascii="仿宋_GB2312" w:hAnsi="仿宋_GB2312" w:eastAsia="仿宋_GB2312" w:cs="仿宋_GB2312"/>
          <w:sz w:val="32"/>
          <w:szCs w:val="32"/>
          <w:lang w:val="en-US" w:eastAsia="zh-CN"/>
        </w:rPr>
        <w:t>次），要求覆盖不同教学模块且形成完整教学实录，为其他课程提供示范借鉴；</w:t>
      </w:r>
    </w:p>
    <w:p w14:paraId="5784F4D8">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eastAsia" w:ascii="Times New Roman" w:hAnsi="Times New Roman" w:eastAsia="仿宋_GB2312" w:cs="仿宋_GB2312"/>
          <w:sz w:val="32"/>
          <w:szCs w:val="32"/>
          <w:lang w:val="en-US" w:eastAsia="zh-CN"/>
        </w:rPr>
        <w:t>3</w:t>
      </w:r>
      <w:r>
        <w:rPr>
          <w:rFonts w:hint="eastAsia" w:ascii="仿宋_GB2312" w:hAnsi="仿宋_GB2312" w:eastAsia="仿宋_GB2312" w:cs="仿宋_GB2312"/>
          <w:sz w:val="32"/>
          <w:szCs w:val="32"/>
          <w:lang w:val="en-US" w:eastAsia="zh-CN"/>
        </w:rPr>
        <w:t>）构建课程思政知识图谱（</w:t>
      </w:r>
      <w:r>
        <w:rPr>
          <w:rFonts w:hint="eastAsia" w:ascii="Times New Roman" w:hAnsi="Times New Roman" w:eastAsia="仿宋_GB2312" w:cs="仿宋_GB2312"/>
          <w:sz w:val="32"/>
          <w:szCs w:val="32"/>
          <w:lang w:val="en-US" w:eastAsia="zh-CN"/>
        </w:rPr>
        <w:t>1</w:t>
      </w:r>
      <w:r>
        <w:rPr>
          <w:rFonts w:hint="eastAsia" w:ascii="仿宋_GB2312" w:hAnsi="仿宋_GB2312" w:eastAsia="仿宋_GB2312" w:cs="仿宋_GB2312"/>
          <w:sz w:val="32"/>
          <w:szCs w:val="32"/>
          <w:lang w:val="en-US" w:eastAsia="zh-CN"/>
        </w:rPr>
        <w:t>张），清晰体现课程思政元素与专业内容的逻辑关联，帮助学生更好地理解知识；</w:t>
      </w:r>
    </w:p>
    <w:p w14:paraId="35AF653E">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eastAsia" w:ascii="Times New Roman" w:hAnsi="Times New Roman" w:eastAsia="仿宋_GB2312" w:cs="仿宋_GB2312"/>
          <w:sz w:val="32"/>
          <w:szCs w:val="32"/>
          <w:lang w:val="en-US" w:eastAsia="zh-CN"/>
        </w:rPr>
        <w:t>4</w:t>
      </w:r>
      <w:r>
        <w:rPr>
          <w:rFonts w:hint="eastAsia" w:ascii="仿宋_GB2312" w:hAnsi="仿宋_GB2312" w:eastAsia="仿宋_GB2312" w:cs="仿宋_GB2312"/>
          <w:sz w:val="32"/>
          <w:szCs w:val="32"/>
          <w:lang w:val="en-US" w:eastAsia="zh-CN"/>
        </w:rPr>
        <w:t>）根据课程类型，开发相应教学资源（至少1项）：</w:t>
      </w:r>
    </w:p>
    <w:p w14:paraId="0A11CC18">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智慧课程：开发智慧教学应用方案、AI辅助教学资源包或智慧课程网站等；</w:t>
      </w:r>
    </w:p>
    <w:p w14:paraId="433B2F96">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产教融合课程：建设产教融合案例资源库、校企共建在线课程或数字化行业情境教学资源等；</w:t>
      </w:r>
    </w:p>
    <w:p w14:paraId="471FCA1C">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项目式课程：开发项目式教学资源库、数字化项目指导手册或配套在线课程等；</w:t>
      </w:r>
    </w:p>
    <w:p w14:paraId="4247E2E9">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场景式课程：建设虚拟仿真场景教学资源、情境教学案例视频库或沉浸式学习平台等。</w:t>
      </w:r>
    </w:p>
    <w:p w14:paraId="3B8B7056">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四、课程思政示范课堂</w:t>
      </w:r>
    </w:p>
    <w:p w14:paraId="6A6DA97C">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（一）立项要求</w:t>
      </w:r>
    </w:p>
    <w:p w14:paraId="0BDAC75D">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仿宋_GB2312"/>
          <w:sz w:val="32"/>
          <w:szCs w:val="32"/>
          <w:lang w:val="en-US" w:eastAsia="zh-CN"/>
        </w:rPr>
        <w:t>1</w:t>
      </w:r>
      <w:r>
        <w:rPr>
          <w:rFonts w:hint="eastAsia" w:ascii="仿宋_GB2312" w:hAnsi="仿宋_GB2312" w:eastAsia="仿宋_GB2312" w:cs="仿宋_GB2312"/>
          <w:sz w:val="32"/>
          <w:szCs w:val="32"/>
          <w:lang w:val="en-US" w:eastAsia="zh-CN"/>
        </w:rPr>
        <w:t>.必须是纳入人才培养方案、稳定开设的一门本科课程中相对固定的一堂（节）课，时长一般在</w:t>
      </w:r>
      <w:r>
        <w:rPr>
          <w:rFonts w:hint="eastAsia" w:ascii="Times New Roman" w:hAnsi="Times New Roman" w:eastAsia="仿宋_GB2312" w:cs="仿宋_GB2312"/>
          <w:sz w:val="32"/>
          <w:szCs w:val="32"/>
          <w:lang w:val="en-US" w:eastAsia="zh-CN"/>
        </w:rPr>
        <w:t>30</w:t>
      </w:r>
      <w:r>
        <w:rPr>
          <w:rFonts w:hint="eastAsia" w:ascii="仿宋_GB2312" w:hAnsi="仿宋_GB2312" w:eastAsia="仿宋_GB2312" w:cs="仿宋_GB2312"/>
          <w:sz w:val="32"/>
          <w:szCs w:val="32"/>
          <w:lang w:val="en-US" w:eastAsia="zh-CN"/>
        </w:rPr>
        <w:t>-</w:t>
      </w:r>
      <w:r>
        <w:rPr>
          <w:rFonts w:hint="eastAsia" w:ascii="Times New Roman" w:hAnsi="Times New Roman" w:eastAsia="仿宋_GB2312" w:cs="仿宋_GB2312"/>
          <w:sz w:val="32"/>
          <w:szCs w:val="32"/>
          <w:lang w:val="en-US" w:eastAsia="zh-CN"/>
        </w:rPr>
        <w:t>60</w:t>
      </w:r>
      <w:r>
        <w:rPr>
          <w:rFonts w:hint="eastAsia" w:ascii="仿宋_GB2312" w:hAnsi="仿宋_GB2312" w:eastAsia="仿宋_GB2312" w:cs="仿宋_GB2312"/>
          <w:sz w:val="32"/>
          <w:szCs w:val="32"/>
          <w:lang w:val="en-US" w:eastAsia="zh-CN"/>
        </w:rPr>
        <w:t>分钟。</w:t>
      </w:r>
    </w:p>
    <w:p w14:paraId="50964745">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仿宋_GB2312"/>
          <w:sz w:val="32"/>
          <w:szCs w:val="32"/>
          <w:lang w:val="en-US" w:eastAsia="zh-CN"/>
        </w:rPr>
        <w:t>2</w:t>
      </w:r>
      <w:r>
        <w:rPr>
          <w:rFonts w:hint="eastAsia" w:ascii="仿宋_GB2312" w:hAnsi="仿宋_GB2312" w:eastAsia="仿宋_GB2312" w:cs="仿宋_GB2312"/>
          <w:sz w:val="32"/>
          <w:szCs w:val="32"/>
          <w:lang w:val="en-US" w:eastAsia="zh-CN"/>
        </w:rPr>
        <w:t>.主讲教师应为学校专任教师，一般应具有讲师（含）以上职称和</w:t>
      </w:r>
      <w:r>
        <w:rPr>
          <w:rFonts w:hint="eastAsia" w:ascii="Times New Roman" w:hAnsi="Times New Roman" w:eastAsia="仿宋_GB2312" w:cs="仿宋_GB2312"/>
          <w:sz w:val="32"/>
          <w:szCs w:val="32"/>
          <w:lang w:val="en-US" w:eastAsia="zh-CN"/>
        </w:rPr>
        <w:t>5</w:t>
      </w:r>
      <w:r>
        <w:rPr>
          <w:rFonts w:hint="eastAsia" w:ascii="仿宋_GB2312" w:hAnsi="仿宋_GB2312" w:eastAsia="仿宋_GB2312" w:cs="仿宋_GB2312"/>
          <w:sz w:val="32"/>
          <w:szCs w:val="32"/>
          <w:lang w:val="en-US" w:eastAsia="zh-CN"/>
        </w:rPr>
        <w:t>年（含）以上本科教龄，长期稳定从事一线本科教学，具有良好的政治素质、师德师风和丰富的课堂讲授经验，年龄一般在</w:t>
      </w:r>
      <w:r>
        <w:rPr>
          <w:rFonts w:hint="eastAsia" w:ascii="Times New Roman" w:hAnsi="Times New Roman" w:eastAsia="仿宋_GB2312" w:cs="仿宋_GB2312"/>
          <w:sz w:val="32"/>
          <w:szCs w:val="32"/>
          <w:lang w:val="en-US" w:eastAsia="zh-CN"/>
        </w:rPr>
        <w:t>60</w:t>
      </w:r>
      <w:r>
        <w:rPr>
          <w:rFonts w:hint="eastAsia" w:ascii="仿宋_GB2312" w:hAnsi="仿宋_GB2312" w:eastAsia="仿宋_GB2312" w:cs="仿宋_GB2312"/>
          <w:sz w:val="32"/>
          <w:szCs w:val="32"/>
          <w:lang w:val="en-US" w:eastAsia="zh-CN"/>
        </w:rPr>
        <w:t>周岁以下。</w:t>
      </w:r>
    </w:p>
    <w:p w14:paraId="31A0053C">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仿宋_GB2312"/>
          <w:sz w:val="32"/>
          <w:szCs w:val="32"/>
          <w:lang w:val="en-US" w:eastAsia="zh-CN"/>
        </w:rPr>
        <w:t>3</w:t>
      </w:r>
      <w:r>
        <w:rPr>
          <w:rFonts w:hint="eastAsia" w:ascii="仿宋_GB2312" w:hAnsi="仿宋_GB2312" w:eastAsia="仿宋_GB2312" w:cs="仿宋_GB2312"/>
          <w:sz w:val="32"/>
          <w:szCs w:val="32"/>
          <w:lang w:val="en-US" w:eastAsia="zh-CN"/>
        </w:rPr>
        <w:t>.示范课堂团队成员不超过</w:t>
      </w:r>
      <w:r>
        <w:rPr>
          <w:rFonts w:hint="eastAsia" w:ascii="Times New Roman" w:hAnsi="Times New Roman" w:eastAsia="仿宋_GB2312" w:cs="仿宋_GB2312"/>
          <w:sz w:val="32"/>
          <w:szCs w:val="32"/>
          <w:lang w:val="en-US" w:eastAsia="zh-CN"/>
        </w:rPr>
        <w:t>3</w:t>
      </w:r>
      <w:r>
        <w:rPr>
          <w:rFonts w:hint="eastAsia" w:ascii="仿宋_GB2312" w:hAnsi="仿宋_GB2312" w:eastAsia="仿宋_GB2312" w:cs="仿宋_GB2312"/>
          <w:sz w:val="32"/>
          <w:szCs w:val="32"/>
          <w:lang w:val="en-US" w:eastAsia="zh-CN"/>
        </w:rPr>
        <w:t>人（含负责人），需明确分工与协作机制。</w:t>
      </w:r>
    </w:p>
    <w:p w14:paraId="D1A7C608">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（二）建设要求</w:t>
      </w:r>
    </w:p>
    <w:p w14:paraId="3BBFB4D7">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仿宋_GB2312"/>
          <w:sz w:val="32"/>
          <w:szCs w:val="32"/>
          <w:lang w:val="en-US" w:eastAsia="zh-CN"/>
        </w:rPr>
        <w:t>1</w:t>
      </w:r>
      <w:r>
        <w:rPr>
          <w:rFonts w:hint="eastAsia" w:ascii="仿宋_GB2312" w:hAnsi="仿宋_GB2312" w:eastAsia="仿宋_GB2312" w:cs="仿宋_GB2312"/>
          <w:sz w:val="32"/>
          <w:szCs w:val="32"/>
          <w:lang w:val="en-US" w:eastAsia="zh-CN"/>
        </w:rPr>
        <w:t>.遵循课程教学大纲安排，思政教学目标明确，编制课程思政、知识、能力、价值观等多维知识图谱（</w:t>
      </w:r>
      <w:r>
        <w:rPr>
          <w:rFonts w:hint="default" w:ascii="Times New Roman" w:hAnsi="Times New Roman" w:eastAsia="仿宋_GB2312" w:cs="仿宋_GB2312"/>
          <w:sz w:val="32"/>
          <w:szCs w:val="32"/>
          <w:lang w:val="en-US" w:eastAsia="zh-CN"/>
        </w:rPr>
        <w:t>1</w:t>
      </w:r>
      <w:r>
        <w:rPr>
          <w:rFonts w:hint="eastAsia" w:ascii="仿宋_GB2312" w:hAnsi="仿宋_GB2312" w:eastAsia="仿宋_GB2312" w:cs="仿宋_GB2312"/>
          <w:sz w:val="32"/>
          <w:szCs w:val="32"/>
          <w:lang w:val="en-US" w:eastAsia="zh-CN"/>
        </w:rPr>
        <w:t>张），实现专业教学与思政教育深度融合，形成可推广的示范经验，构建课程思政体系，服务立德树人根本任务落实。</w:t>
      </w:r>
    </w:p>
    <w:p w14:paraId="F10FACDE">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default" w:ascii="仿宋_GB2312" w:hAnsi="仿宋_GB2312" w:eastAsia="仿宋_GB2312" w:cs="仿宋_GB2312"/>
          <w:sz w:val="32"/>
          <w:szCs w:val="32"/>
          <w:lang w:val="en-US" w:eastAsia="zh-CN"/>
        </w:rPr>
      </w:pPr>
      <w:r>
        <w:rPr>
          <w:rFonts w:hint="eastAsia" w:ascii="Times New Roman" w:hAnsi="Times New Roman" w:eastAsia="仿宋_GB2312" w:cs="仿宋_GB2312"/>
          <w:sz w:val="32"/>
          <w:szCs w:val="32"/>
          <w:lang w:val="en-US" w:eastAsia="zh-CN"/>
        </w:rPr>
        <w:t>2</w:t>
      </w:r>
      <w:r>
        <w:rPr>
          <w:rFonts w:hint="eastAsia" w:ascii="仿宋_GB2312" w:hAnsi="仿宋_GB2312" w:eastAsia="仿宋_GB2312" w:cs="仿宋_GB2312"/>
          <w:sz w:val="32"/>
          <w:szCs w:val="32"/>
          <w:lang w:val="en-US" w:eastAsia="zh-CN"/>
        </w:rPr>
        <w:t>.教师素养：授课教师仪态大方，精神风貌良好，教学思路清晰、逻辑严谨，讲解深入浅出，便于学生理解。</w:t>
      </w:r>
    </w:p>
    <w:p w14:paraId="ED1F37ED">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仿宋_GB2312"/>
          <w:sz w:val="32"/>
          <w:szCs w:val="32"/>
          <w:lang w:val="en-US" w:eastAsia="zh-CN"/>
        </w:rPr>
        <w:t>3</w:t>
      </w:r>
      <w:r>
        <w:rPr>
          <w:rFonts w:hint="eastAsia" w:ascii="仿宋_GB2312" w:hAnsi="仿宋_GB2312" w:eastAsia="仿宋_GB2312" w:cs="仿宋_GB2312"/>
          <w:sz w:val="32"/>
          <w:szCs w:val="32"/>
          <w:lang w:val="en-US" w:eastAsia="zh-CN"/>
        </w:rPr>
        <w:t>. 教学设计</w:t>
      </w:r>
    </w:p>
    <w:p w14:paraId="E536D576">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课件突出教学特色，整合案例、专业经典等素材； 将思政目标与专业知识点有机结合，建设</w:t>
      </w:r>
      <w:r>
        <w:rPr>
          <w:rFonts w:hint="default" w:ascii="Times New Roman" w:hAnsi="Times New Roman" w:eastAsia="仿宋_GB2312" w:cs="仿宋_GB2312"/>
          <w:sz w:val="32"/>
          <w:szCs w:val="32"/>
          <w:lang w:val="en-US" w:eastAsia="zh-CN"/>
        </w:rPr>
        <w:t>4</w:t>
      </w:r>
      <w:r>
        <w:rPr>
          <w:rFonts w:hint="default" w:ascii="仿宋_GB2312" w:hAnsi="仿宋_GB2312" w:eastAsia="仿宋_GB2312" w:cs="仿宋_GB2312"/>
          <w:sz w:val="32"/>
          <w:szCs w:val="32"/>
          <w:lang w:val="en-US" w:eastAsia="zh-CN"/>
        </w:rPr>
        <w:t>-</w:t>
      </w:r>
      <w:r>
        <w:rPr>
          <w:rFonts w:hint="default" w:ascii="Times New Roman" w:hAnsi="Times New Roman" w:eastAsia="仿宋_GB2312" w:cs="仿宋_GB2312"/>
          <w:sz w:val="32"/>
          <w:szCs w:val="32"/>
          <w:lang w:val="en-US" w:eastAsia="zh-CN"/>
        </w:rPr>
        <w:t>6</w:t>
      </w:r>
      <w:r>
        <w:rPr>
          <w:rFonts w:hint="eastAsia" w:ascii="仿宋_GB2312" w:hAnsi="仿宋_GB2312" w:eastAsia="仿宋_GB2312" w:cs="仿宋_GB2312"/>
          <w:sz w:val="32"/>
          <w:szCs w:val="32"/>
          <w:lang w:val="en-US" w:eastAsia="zh-CN"/>
        </w:rPr>
        <w:t xml:space="preserve">个课程思政教学案例库。 </w:t>
      </w:r>
    </w:p>
    <w:p w14:paraId="CEE6BAF3">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仿宋_GB2312"/>
          <w:sz w:val="32"/>
          <w:szCs w:val="32"/>
          <w:lang w:val="en-US" w:eastAsia="zh-CN"/>
        </w:rPr>
        <w:t>4</w:t>
      </w:r>
      <w:r>
        <w:rPr>
          <w:rFonts w:hint="eastAsia" w:ascii="仿宋_GB2312" w:hAnsi="仿宋_GB2312" w:eastAsia="仿宋_GB2312" w:cs="仿宋_GB2312"/>
          <w:sz w:val="32"/>
          <w:szCs w:val="32"/>
          <w:lang w:val="en-US" w:eastAsia="zh-CN"/>
        </w:rPr>
        <w:t>.课程内容</w:t>
      </w:r>
    </w:p>
    <w:p w14:paraId="5A46D33A">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学内容要饱满充实，围绕政治认同、家国情怀、文化素养、法治意识、道德修养等重点优化内容供给，结合学科特点设计差异化思政路径。强化理想信念教育，注重"认知-认同-践行"的育人逻辑，引导学生树立正确的价值观和人生观。</w:t>
      </w:r>
    </w:p>
    <w:p w14:paraId="ABB886EB">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仿宋_GB2312"/>
          <w:sz w:val="32"/>
          <w:szCs w:val="32"/>
          <w:lang w:val="en-US" w:eastAsia="zh-CN"/>
        </w:rPr>
        <w:t>5</w:t>
      </w:r>
      <w:r>
        <w:rPr>
          <w:rFonts w:hint="eastAsia" w:ascii="仿宋_GB2312" w:hAnsi="仿宋_GB2312" w:eastAsia="仿宋_GB2312" w:cs="仿宋_GB2312"/>
          <w:sz w:val="32"/>
          <w:szCs w:val="32"/>
          <w:lang w:val="en-US" w:eastAsia="zh-CN"/>
        </w:rPr>
        <w:t>.创新课堂教学模式，推进现代信息技术在课程思政教学中的应用，激发学生学习兴趣，引导学生深入思考，达到思政育人润物无声的效果。</w:t>
      </w:r>
    </w:p>
    <w:p w14:paraId="55CA4598">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仿宋_GB2312"/>
          <w:sz w:val="32"/>
          <w:szCs w:val="32"/>
          <w:lang w:val="en-US" w:eastAsia="zh-CN"/>
        </w:rPr>
        <w:t>6</w:t>
      </w:r>
      <w:r>
        <w:rPr>
          <w:rFonts w:hint="eastAsia" w:ascii="仿宋_GB2312" w:hAnsi="仿宋_GB2312" w:eastAsia="仿宋_GB2312" w:cs="仿宋_GB2312"/>
          <w:sz w:val="32"/>
          <w:szCs w:val="32"/>
          <w:lang w:val="en-US" w:eastAsia="zh-CN"/>
        </w:rPr>
        <w:t>.突出教师主导和学生主体作用，确保学生学习状态良好、课堂教学参与度高，育人成效显著，受到学生、校内外同行专家等的广泛认可，课堂教学模式具有可推广、可借鉴价值。</w:t>
      </w:r>
    </w:p>
    <w:p w14:paraId="6F264B44">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default" w:ascii="仿宋_GB2312" w:hAnsi="仿宋_GB2312" w:eastAsia="仿宋_GB2312" w:cs="仿宋_GB2312"/>
          <w:sz w:val="32"/>
          <w:szCs w:val="32"/>
          <w:lang w:val="en-US" w:eastAsia="zh-CN"/>
        </w:rPr>
      </w:pPr>
      <w:r>
        <w:rPr>
          <w:rFonts w:hint="eastAsia" w:ascii="Times New Roman" w:hAnsi="Times New Roman" w:eastAsia="仿宋_GB2312" w:cs="仿宋_GB2312"/>
          <w:sz w:val="32"/>
          <w:szCs w:val="32"/>
          <w:lang w:val="en-US" w:eastAsia="zh-CN"/>
        </w:rPr>
        <w:t>7</w:t>
      </w:r>
      <w:r>
        <w:rPr>
          <w:rFonts w:hint="eastAsia" w:ascii="仿宋_GB2312" w:hAnsi="仿宋_GB2312" w:eastAsia="仿宋_GB2312" w:cs="仿宋_GB2312"/>
          <w:sz w:val="32"/>
          <w:szCs w:val="32"/>
          <w:lang w:val="en-US" w:eastAsia="zh-CN"/>
        </w:rPr>
        <w:t>.在建设期内（至</w:t>
      </w:r>
      <w:r>
        <w:rPr>
          <w:rFonts w:hint="eastAsia" w:ascii="Times New Roman" w:hAnsi="Times New Roman" w:eastAsia="仿宋_GB2312" w:cs="仿宋_GB2312"/>
          <w:sz w:val="32"/>
          <w:szCs w:val="32"/>
          <w:lang w:val="en-US" w:eastAsia="zh-CN"/>
        </w:rPr>
        <w:t>2028年7月</w:t>
      </w:r>
      <w:r>
        <w:rPr>
          <w:rFonts w:hint="eastAsia" w:ascii="仿宋_GB2312" w:hAnsi="仿宋_GB2312" w:eastAsia="仿宋_GB2312" w:cs="仿宋_GB2312"/>
          <w:sz w:val="32"/>
          <w:szCs w:val="32"/>
          <w:lang w:val="en-US" w:eastAsia="zh-CN"/>
        </w:rPr>
        <w:t>前），完善所立项课堂的教学设计、教学案例、教学课件；提炼总结教学设计、方法、过程的创新点，明确对同类课程的示范引领作用；开展课程思政示范公开课（</w:t>
      </w:r>
      <w:r>
        <w:rPr>
          <w:rFonts w:hint="default" w:ascii="Times New Roman" w:hAnsi="Times New Roman" w:eastAsia="仿宋_GB2312" w:cs="仿宋_GB2312"/>
          <w:sz w:val="32"/>
          <w:szCs w:val="32"/>
          <w:lang w:val="en-US" w:eastAsia="zh-CN"/>
        </w:rPr>
        <w:t>2</w:t>
      </w:r>
      <w:r>
        <w:rPr>
          <w:rFonts w:hint="eastAsia" w:ascii="仿宋_GB2312" w:hAnsi="仿宋_GB2312" w:eastAsia="仿宋_GB2312" w:cs="仿宋_GB2312"/>
          <w:sz w:val="32"/>
          <w:szCs w:val="32"/>
          <w:lang w:val="en-US" w:eastAsia="zh-CN"/>
        </w:rPr>
        <w:t>次），覆盖不同教学模块，提供完整教学实录。</w:t>
      </w:r>
    </w:p>
    <w:p w14:paraId="6F5DC0B9">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五、课程思政教学典型案例</w:t>
      </w:r>
    </w:p>
    <w:p w14:paraId="A8609931">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（一）立项要求</w:t>
      </w:r>
    </w:p>
    <w:p w14:paraId="95B06DC8">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default" w:ascii="仿宋_GB2312" w:hAnsi="仿宋_GB2312" w:eastAsia="仿宋_GB2312" w:cs="仿宋_GB2312"/>
          <w:sz w:val="32"/>
          <w:szCs w:val="32"/>
          <w:lang w:val="en-US" w:eastAsia="zh-CN"/>
        </w:rPr>
      </w:pPr>
      <w:r>
        <w:rPr>
          <w:rFonts w:hint="default" w:ascii="Times New Roman" w:hAnsi="Times New Roman" w:eastAsia="仿宋_GB2312" w:cs="仿宋_GB2312"/>
          <w:sz w:val="32"/>
          <w:szCs w:val="32"/>
          <w:lang w:val="en-US" w:eastAsia="zh-CN"/>
        </w:rPr>
        <w:t>1</w:t>
      </w:r>
      <w:r>
        <w:rPr>
          <w:rFonts w:hint="default" w:ascii="仿宋_GB2312" w:hAnsi="仿宋_GB2312" w:eastAsia="仿宋_GB2312" w:cs="仿宋_GB2312"/>
          <w:sz w:val="32"/>
          <w:szCs w:val="32"/>
          <w:lang w:val="en-US" w:eastAsia="zh-CN"/>
        </w:rPr>
        <w:t>.典型案例团队成员不超过</w:t>
      </w:r>
      <w:r>
        <w:rPr>
          <w:rFonts w:hint="default" w:ascii="Times New Roman" w:hAnsi="Times New Roman" w:eastAsia="仿宋_GB2312" w:cs="仿宋_GB2312"/>
          <w:sz w:val="32"/>
          <w:szCs w:val="32"/>
          <w:lang w:val="en-US" w:eastAsia="zh-CN"/>
        </w:rPr>
        <w:t>2</w:t>
      </w:r>
      <w:r>
        <w:rPr>
          <w:rFonts w:hint="default" w:ascii="仿宋_GB2312" w:hAnsi="仿宋_GB2312" w:eastAsia="仿宋_GB2312" w:cs="仿宋_GB2312"/>
          <w:sz w:val="32"/>
          <w:szCs w:val="32"/>
          <w:lang w:val="en-US" w:eastAsia="zh-CN"/>
        </w:rPr>
        <w:t>人（含负责人）。</w:t>
      </w:r>
    </w:p>
    <w:p w14:paraId="0FA0CE19">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default" w:ascii="Times New Roman" w:hAnsi="Times New Roman" w:eastAsia="仿宋_GB2312" w:cs="仿宋_GB2312"/>
          <w:sz w:val="32"/>
          <w:szCs w:val="32"/>
          <w:lang w:val="en-US" w:eastAsia="zh-CN"/>
        </w:rPr>
        <w:t>2</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申报案例课教学目标需围绕价值塑造、知识传授、能力培养三个维度，着重体现价值塑造维度，突出案例的育人价值。</w:t>
      </w:r>
    </w:p>
    <w:p w14:paraId="17EEF87B">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（二）建设要求</w:t>
      </w:r>
    </w:p>
    <w:p w14:paraId="D5CA2130">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_GB2312" w:eastAsia="仿宋_GB2312" w:cs="仿宋_GB2312"/>
          <w:sz w:val="32"/>
          <w:szCs w:val="32"/>
          <w:lang w:val="en-US" w:eastAsia="zh-CN"/>
        </w:rPr>
      </w:pPr>
      <w:r>
        <w:rPr>
          <w:rFonts w:hint="default" w:ascii="Times New Roman" w:hAnsi="Times New Roman" w:eastAsia="仿宋_GB2312" w:cs="仿宋_GB2312"/>
          <w:sz w:val="32"/>
          <w:szCs w:val="32"/>
          <w:lang w:val="en-US" w:eastAsia="zh-CN"/>
        </w:rPr>
        <w:t>1</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根据不同学科专业的特色和优势，深入挖掘课程思政元素，提炼专业知识体系中蕴含的思想价值和精神内涵，创新课堂教学模式，促进学生积极参与、亲身体验、深刻反思和实践操作。</w:t>
      </w:r>
    </w:p>
    <w:p w14:paraId="A59998EC">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default" w:ascii="仿宋_GB2312" w:hAnsi="仿宋_GB2312" w:eastAsia="仿宋_GB2312" w:cs="仿宋_GB2312"/>
          <w:sz w:val="32"/>
          <w:szCs w:val="32"/>
          <w:lang w:val="en-US" w:eastAsia="zh-CN"/>
        </w:rPr>
      </w:pPr>
      <w:r>
        <w:rPr>
          <w:rFonts w:hint="default" w:ascii="Times New Roman" w:hAnsi="Times New Roman" w:eastAsia="仿宋_GB2312" w:cs="仿宋_GB2312"/>
          <w:sz w:val="32"/>
          <w:szCs w:val="32"/>
          <w:lang w:val="en-US" w:eastAsia="zh-CN"/>
        </w:rPr>
        <w:t>2</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主讲教师要从价值引导、元素挖掘、实施成效等多维度对案例课进行说明。</w:t>
      </w:r>
    </w:p>
    <w:sectPr>
      <w:pgSz w:w="11906" w:h="16838"/>
      <w:pgMar w:top="1440" w:right="1463"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250AED0-DBB7-4E05-BC1F-04919828C94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embedRegular r:id="rId2" w:fontKey="{3D290C55-D120-427B-9785-5079C15194A5}"/>
  </w:font>
  <w:font w:name="仿宋_GB2312">
    <w:panose1 w:val="02010609030101010101"/>
    <w:charset w:val="86"/>
    <w:family w:val="auto"/>
    <w:pitch w:val="default"/>
    <w:sig w:usb0="00000001" w:usb1="080E0000" w:usb2="00000000" w:usb3="00000000" w:csb0="00040000" w:csb1="00000000"/>
    <w:embedRegular r:id="rId3" w:fontKey="{20233DD8-3ED9-49DE-9FAB-FF3C252DDD3A}"/>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Impact">
    <w:panose1 w:val="020B0806030902050204"/>
    <w:charset w:val="00"/>
    <w:family w:val="auto"/>
    <w:pitch w:val="default"/>
    <w:sig w:usb0="00000287" w:usb1="00000000" w:usb2="00000000" w:usb3="00000000" w:csb0="2000009F" w:csb1="DFD7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Ti">
    <w:altName w:val="Segoe Print"/>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5382ECB"/>
    <w:rsid w:val="08CB09C8"/>
    <w:rsid w:val="0AB45767"/>
    <w:rsid w:val="0F31382A"/>
    <w:rsid w:val="19563FC6"/>
    <w:rsid w:val="24664E32"/>
    <w:rsid w:val="27CE5C62"/>
    <w:rsid w:val="2CBB6F02"/>
    <w:rsid w:val="2FDD4C94"/>
    <w:rsid w:val="35E0728C"/>
    <w:rsid w:val="38503735"/>
    <w:rsid w:val="3C6C47C7"/>
    <w:rsid w:val="3ECB127B"/>
    <w:rsid w:val="411B19FE"/>
    <w:rsid w:val="43EC3161"/>
    <w:rsid w:val="4A7328D7"/>
    <w:rsid w:val="55384597"/>
    <w:rsid w:val="56D51E1F"/>
    <w:rsid w:val="57841F76"/>
    <w:rsid w:val="59E93450"/>
    <w:rsid w:val="5C495634"/>
    <w:rsid w:val="612E2CF2"/>
    <w:rsid w:val="64E301A2"/>
    <w:rsid w:val="681503E6"/>
    <w:rsid w:val="6B8A321B"/>
    <w:rsid w:val="7BF614AE"/>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4">
    <w:name w:val="Default Paragraph Font"/>
    <w:qFormat/>
    <w:uiPriority w:val="1"/>
  </w:style>
  <w:style w:type="table" w:default="1" w:styleId="3">
    <w:name w:val="Normal Table"/>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3330</Words>
  <Characters>3407</Characters>
  <Paragraphs>68</Paragraphs>
  <TotalTime>0</TotalTime>
  <ScaleCrop>false</ScaleCrop>
  <LinksUpToDate>false</LinksUpToDate>
  <CharactersWithSpaces>3411</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2025-05-26T10:43:00Z</dcterms:created>
  <dc:creator>LRA-AN00</dc:creator>
  <cp:lastModifiedBy>倪妙珊</cp:lastModifiedBy>
  <dcterms:modified xsi:type="dcterms:W3CDTF">2026-06-15T19:35:24Z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7B652CA31B7F4071A51DEAAF3C13BE0E_13</vt:lpwstr>
  </property>
  <property fmtid="{D5CDD505-2E9C-101B-9397-08002B2CF9AE}" pid="3" name="KSOTemplateDocerSaveRecord">
    <vt:lpwstr>eyJoZGlkIjoiMmIzZmQwNDE1NWU5Yzc1OWEzZTNlODZmZDliY2Q4N2MiLCJ1c2VySWQiOiIyODQ2MTI4NDkifQ==</vt:lpwstr>
  </property>
  <property fmtid="{D5CDD505-2E9C-101B-9397-08002B2CF9AE}" pid="4" name="KSOProductBuildVer">
    <vt:lpwstr>2052-12.1.0.20305</vt:lpwstr>
  </property>
</Properties>
</file>